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4A" w:rsidRDefault="005D018F" w:rsidP="005D018F">
      <w:pPr>
        <w:pStyle w:val="Heading1"/>
      </w:pPr>
      <w:r>
        <w:t>Интерпретативно съчинение – към практиката</w:t>
      </w:r>
    </w:p>
    <w:p w:rsidR="005D018F" w:rsidRDefault="005D018F" w:rsidP="005D018F">
      <w:pPr>
        <w:pStyle w:val="Heading1"/>
        <w:rPr>
          <w:rFonts w:ascii="Times New Roman" w:hAnsi="Times New Roman"/>
          <w:szCs w:val="48"/>
        </w:rPr>
      </w:pPr>
      <w:r>
        <w:t>План за интерпретативно съчинение</w:t>
      </w:r>
    </w:p>
    <w:p w:rsidR="005D018F" w:rsidRDefault="005D018F" w:rsidP="005D018F">
      <w:pPr>
        <w:pStyle w:val="Heading2"/>
      </w:pPr>
      <w:r>
        <w:t>Тема: „</w:t>
      </w:r>
      <w:bookmarkStart w:id="0" w:name="_GoBack"/>
      <w:r>
        <w:t>Човекът между отчаянието и надеждата</w:t>
      </w:r>
      <w:bookmarkEnd w:id="0"/>
      <w:r>
        <w:t>“ в разказа „Спасова могила“ на Елин Пелин</w:t>
      </w:r>
    </w:p>
    <w:p w:rsidR="000079A5" w:rsidRDefault="000079A5" w:rsidP="000079A5">
      <w:pPr>
        <w:rPr>
          <w:rFonts w:ascii="Times New Roman" w:hAnsi="Times New Roman"/>
        </w:rPr>
      </w:pPr>
      <w:r>
        <w:t xml:space="preserve">Заглавието е изградено върху </w:t>
      </w:r>
      <w:r>
        <w:rPr>
          <w:b/>
          <w:bCs/>
        </w:rPr>
        <w:t>антитеза</w:t>
      </w:r>
      <w:r>
        <w:t>, която поставя героя в гранична ситуация. За да го разберем, трябва да разтълкуваме трите основни стълба в него:</w:t>
      </w:r>
    </w:p>
    <w:p w:rsidR="000079A5" w:rsidRDefault="000079A5" w:rsidP="000079A5">
      <w:pPr>
        <w:pStyle w:val="bul"/>
      </w:pPr>
      <w:r>
        <w:t>ЧОВЕКЪТ (Субектът на страданието):</w:t>
      </w:r>
    </w:p>
    <w:p w:rsidR="000079A5" w:rsidRDefault="000079A5" w:rsidP="008D3A7C">
      <w:pPr>
        <w:pStyle w:val="bul2"/>
      </w:pPr>
      <w:r>
        <w:t xml:space="preserve">В разказа това не е социална единица, а страдащо същество. Човекът е представен в два аспекта: </w:t>
      </w:r>
      <w:r>
        <w:rPr>
          <w:b/>
          <w:bCs/>
        </w:rPr>
        <w:t>колективен</w:t>
      </w:r>
      <w:r>
        <w:t xml:space="preserve"> („мравунякът“ от болни на могилата – символ на общочовешката болка) и </w:t>
      </w:r>
      <w:r>
        <w:rPr>
          <w:b/>
          <w:bCs/>
        </w:rPr>
        <w:t>индивидуален</w:t>
      </w:r>
      <w:r>
        <w:t xml:space="preserve"> (</w:t>
      </w:r>
      <w:proofErr w:type="spellStart"/>
      <w:r>
        <w:t>Монка</w:t>
      </w:r>
      <w:r w:rsidR="008D3A7C">
        <w:t>та</w:t>
      </w:r>
      <w:proofErr w:type="spellEnd"/>
      <w:r>
        <w:t xml:space="preserve"> и дядо Захари).</w:t>
      </w:r>
    </w:p>
    <w:p w:rsidR="000079A5" w:rsidRDefault="000079A5" w:rsidP="008D3A7C">
      <w:pPr>
        <w:pStyle w:val="bul2"/>
      </w:pPr>
      <w:r>
        <w:rPr>
          <w:i/>
          <w:iCs/>
        </w:rPr>
        <w:t>Тълкуване:</w:t>
      </w:r>
      <w:r>
        <w:t xml:space="preserve"> Човекът е безпомощен пред природата и болестта, но е </w:t>
      </w:r>
      <w:r w:rsidR="008D3A7C">
        <w:t>силен</w:t>
      </w:r>
      <w:r>
        <w:t xml:space="preserve"> в способността си да вярва.</w:t>
      </w:r>
    </w:p>
    <w:p w:rsidR="000079A5" w:rsidRDefault="000079A5" w:rsidP="000079A5">
      <w:pPr>
        <w:pStyle w:val="bul"/>
      </w:pPr>
      <w:r>
        <w:t>ОТЧАЯНИЕТО (Тезата на реалността):</w:t>
      </w:r>
    </w:p>
    <w:p w:rsidR="000079A5" w:rsidRDefault="000079A5" w:rsidP="008D3A7C">
      <w:pPr>
        <w:pStyle w:val="bul2"/>
      </w:pPr>
      <w:r>
        <w:t>Това е земният полюс. То</w:t>
      </w:r>
      <w:r w:rsidR="008D3A7C">
        <w:t>, отчаянието,</w:t>
      </w:r>
      <w:r>
        <w:t xml:space="preserve"> е породено от социалната нищета (бедността, липсата на лекари) и физическ</w:t>
      </w:r>
      <w:r w:rsidR="008D3A7C">
        <w:t>ата немощ</w:t>
      </w:r>
      <w:r>
        <w:t>.</w:t>
      </w:r>
    </w:p>
    <w:p w:rsidR="000079A5" w:rsidRDefault="000079A5" w:rsidP="008D3A7C">
      <w:pPr>
        <w:pStyle w:val="bul2"/>
      </w:pPr>
      <w:r>
        <w:rPr>
          <w:i/>
          <w:iCs/>
        </w:rPr>
        <w:t>Ключов детайл:</w:t>
      </w:r>
      <w:r>
        <w:t xml:space="preserve"> Отчаянието е </w:t>
      </w:r>
      <w:r w:rsidR="008D3A7C">
        <w:t xml:space="preserve">както </w:t>
      </w:r>
      <w:r>
        <w:t>в „гнилата душа“ на света</w:t>
      </w:r>
      <w:r w:rsidR="008D3A7C">
        <w:t>, така</w:t>
      </w:r>
      <w:r w:rsidR="00511AA1">
        <w:t xml:space="preserve"> </w:t>
      </w:r>
      <w:r>
        <w:t>и в „сухите ръце“ на болното дете. То е тежестта, която тегли геро</w:t>
      </w:r>
      <w:r w:rsidR="008D3A7C">
        <w:t>ите</w:t>
      </w:r>
      <w:r>
        <w:t xml:space="preserve"> към земята.</w:t>
      </w:r>
    </w:p>
    <w:p w:rsidR="000079A5" w:rsidRDefault="000079A5" w:rsidP="000079A5">
      <w:pPr>
        <w:pStyle w:val="bul"/>
      </w:pPr>
      <w:r>
        <w:t>НАДЕЖДАТА (Антитезата на духа):</w:t>
      </w:r>
    </w:p>
    <w:p w:rsidR="000079A5" w:rsidRDefault="000079A5" w:rsidP="008D3A7C">
      <w:pPr>
        <w:pStyle w:val="bul2"/>
      </w:pPr>
      <w:r>
        <w:t xml:space="preserve">Това е небесният полюс. Тя е ирационална, защото не се опира на фактите, а на </w:t>
      </w:r>
      <w:r>
        <w:rPr>
          <w:b/>
          <w:bCs/>
        </w:rPr>
        <w:t>„светата лъжа“</w:t>
      </w:r>
      <w:r w:rsidR="008D3A7C">
        <w:t>, поверието, традицията</w:t>
      </w:r>
      <w:r>
        <w:t>.</w:t>
      </w:r>
    </w:p>
    <w:p w:rsidR="000079A5" w:rsidRDefault="000079A5" w:rsidP="000079A5">
      <w:pPr>
        <w:pStyle w:val="bul2"/>
      </w:pPr>
      <w:r>
        <w:rPr>
          <w:i/>
          <w:iCs/>
        </w:rPr>
        <w:t>Ключов детайл:</w:t>
      </w:r>
      <w:r>
        <w:t xml:space="preserve"> Надеждата е „златната стълба“, видението за Бога и ангелчето. Тя е силата, която кара сакатите да се изкачват нагоре по стръмното.</w:t>
      </w:r>
    </w:p>
    <w:p w:rsidR="000079A5" w:rsidRDefault="000079A5" w:rsidP="000079A5">
      <w:pPr>
        <w:pStyle w:val="bul"/>
      </w:pPr>
      <w:r>
        <w:t>МЕЖДУ (Пространството на избора):</w:t>
      </w:r>
    </w:p>
    <w:p w:rsidR="000079A5" w:rsidRDefault="000079A5" w:rsidP="000079A5">
      <w:pPr>
        <w:pStyle w:val="bul2"/>
      </w:pPr>
      <w:r>
        <w:t xml:space="preserve">Тази дума е логическият център. Тя определя </w:t>
      </w:r>
      <w:r>
        <w:rPr>
          <w:b/>
          <w:bCs/>
        </w:rPr>
        <w:t>хронотопа</w:t>
      </w:r>
      <w:r>
        <w:t xml:space="preserve"> (време-пространството) на разказа.</w:t>
      </w:r>
    </w:p>
    <w:p w:rsidR="000079A5" w:rsidRDefault="000079A5" w:rsidP="000A66B4">
      <w:pPr>
        <w:pStyle w:val="bul2"/>
      </w:pPr>
      <w:r>
        <w:t>Героите се намират физически на пътя към върха и психически – в състояние на очакване. Това „между“ е напрежението, в което се ражда смисълът: човекът е единственото същество, което може да изпитва едновременно и двете състояния.</w:t>
      </w:r>
    </w:p>
    <w:p w:rsidR="000079A5" w:rsidRDefault="000079A5" w:rsidP="000079A5">
      <w:pPr>
        <w:pStyle w:val="Heading3"/>
      </w:pPr>
      <w:r>
        <w:t xml:space="preserve">Как това се свързва с </w:t>
      </w:r>
      <w:r w:rsidR="008D3A7C">
        <w:t xml:space="preserve">увода </w:t>
      </w:r>
      <w:r>
        <w:t xml:space="preserve">и </w:t>
      </w:r>
      <w:r w:rsidR="008D3A7C">
        <w:t>тезата</w:t>
      </w:r>
      <w:r>
        <w:t>?</w:t>
      </w:r>
    </w:p>
    <w:p w:rsidR="000079A5" w:rsidRDefault="000079A5" w:rsidP="000A66B4">
      <w:pPr>
        <w:pStyle w:val="a"/>
      </w:pPr>
      <w:r>
        <w:rPr>
          <w:b/>
          <w:bCs/>
        </w:rPr>
        <w:t>От анализа на ОТЧАЯНИЕТО</w:t>
      </w:r>
      <w:r>
        <w:t xml:space="preserve"> </w:t>
      </w:r>
      <w:r w:rsidR="008D3A7C">
        <w:t>плавно „</w:t>
      </w:r>
      <w:r>
        <w:t>преливаме</w:t>
      </w:r>
      <w:r w:rsidR="008D3A7C">
        <w:t>“</w:t>
      </w:r>
      <w:r>
        <w:t xml:space="preserve"> към </w:t>
      </w:r>
      <w:r w:rsidR="008D3A7C">
        <w:rPr>
          <w:b/>
          <w:bCs/>
        </w:rPr>
        <w:t>увода</w:t>
      </w:r>
      <w:r w:rsidR="008D3A7C">
        <w:t xml:space="preserve"> </w:t>
      </w:r>
      <w:r>
        <w:t>(социалното разорение, за което говорихме).</w:t>
      </w:r>
    </w:p>
    <w:p w:rsidR="000079A5" w:rsidRDefault="000079A5" w:rsidP="000A66B4">
      <w:pPr>
        <w:pStyle w:val="a"/>
      </w:pPr>
      <w:r>
        <w:rPr>
          <w:b/>
          <w:bCs/>
        </w:rPr>
        <w:t>От анализа на МЕЖДУ</w:t>
      </w:r>
      <w:r>
        <w:t xml:space="preserve"> преливаме към </w:t>
      </w:r>
      <w:r>
        <w:rPr>
          <w:b/>
          <w:bCs/>
        </w:rPr>
        <w:t>Тезата</w:t>
      </w:r>
      <w:r>
        <w:t xml:space="preserve"> (че надеждата е жизнена необходимост в това междинно състояние).</w:t>
      </w:r>
    </w:p>
    <w:p w:rsidR="005D018F" w:rsidRPr="005D018F" w:rsidRDefault="005D018F" w:rsidP="005D018F">
      <w:pPr>
        <w:pStyle w:val="a1"/>
      </w:pPr>
    </w:p>
    <w:p w:rsidR="005D018F" w:rsidRDefault="005D018F" w:rsidP="005D018F">
      <w:pPr>
        <w:pStyle w:val="Heading3"/>
      </w:pPr>
      <w:r>
        <w:t>Стъпка 1: Увод (Въвеждащи изречения)</w:t>
      </w:r>
    </w:p>
    <w:p w:rsidR="005D018F" w:rsidRDefault="005D018F" w:rsidP="005D018F">
      <w:pPr>
        <w:pStyle w:val="bul"/>
        <w:rPr>
          <w:rFonts w:ascii="Times New Roman" w:hAnsi="Times New Roman"/>
          <w:szCs w:val="24"/>
        </w:rPr>
      </w:pPr>
      <w:r>
        <w:rPr>
          <w:b/>
          <w:bCs/>
        </w:rPr>
        <w:t>Методическо правило:</w:t>
      </w:r>
      <w:r>
        <w:t xml:space="preserve"> Уводът представя автора и творбата в техния исторически и литературен контекст (епоха, социални процеси), без да формулира тезата.</w:t>
      </w:r>
    </w:p>
    <w:p w:rsidR="005D018F" w:rsidRDefault="005D018F" w:rsidP="008D3A7C">
      <w:pPr>
        <w:pStyle w:val="bul2"/>
      </w:pPr>
      <w:r>
        <w:rPr>
          <w:b/>
          <w:bCs/>
        </w:rPr>
        <w:t>Приложение върху темата:</w:t>
      </w:r>
      <w:r>
        <w:t xml:space="preserve"> Творчеството на Елин Пелин е дълбоко свързано с драматичните процеси в българското село от началото на миналия век. Това е време на масово разоряване на селячеството, на бедност и социална безизходица, които оставят </w:t>
      </w:r>
      <w:r>
        <w:lastRenderedPageBreak/>
        <w:t>отпечатък върху душевността на обикновения човек. В разказа „Спасова могила“ писателят надхвърля</w:t>
      </w:r>
      <w:r w:rsidR="00511AA1">
        <w:t xml:space="preserve"> </w:t>
      </w:r>
      <w:r>
        <w:t>битовото, за да покаже как</w:t>
      </w:r>
      <w:r w:rsidR="00511AA1">
        <w:t xml:space="preserve"> </w:t>
      </w:r>
      <w:r>
        <w:t>бедността (липсата на доктори, за които споменава Монката) тласкат народа към последното му убежище – мистичната вяра и ирационалната надежда. Творбата е</w:t>
      </w:r>
      <w:r w:rsidR="00511AA1">
        <w:t xml:space="preserve"> </w:t>
      </w:r>
      <w:r>
        <w:t>болезнена снимка на един „болен свят“, в който физическото страдание и духовният копнеж се преплитат на фона на едно изоставено и осиротяло битие.</w:t>
      </w:r>
    </w:p>
    <w:p w:rsidR="005D018F" w:rsidRDefault="005D018F" w:rsidP="005D018F">
      <w:pPr>
        <w:pStyle w:val="Heading3"/>
      </w:pPr>
      <w:r>
        <w:t xml:space="preserve">Стъпка 2: Формулиране на </w:t>
      </w:r>
      <w:r w:rsidR="008D3A7C">
        <w:t xml:space="preserve">теза </w:t>
      </w:r>
      <w:r>
        <w:t xml:space="preserve">(Основно твърдение + </w:t>
      </w:r>
      <w:proofErr w:type="spellStart"/>
      <w:r w:rsidR="008D3A7C">
        <w:t>подтези</w:t>
      </w:r>
      <w:proofErr w:type="spellEnd"/>
      <w:r>
        <w:t>)</w:t>
      </w:r>
    </w:p>
    <w:p w:rsidR="005D018F" w:rsidRDefault="005D018F" w:rsidP="005D018F">
      <w:pPr>
        <w:pStyle w:val="bul"/>
      </w:pPr>
      <w:r>
        <w:rPr>
          <w:b/>
          <w:bCs/>
        </w:rPr>
        <w:t>Методическо правило:</w:t>
      </w:r>
      <w:r>
        <w:t xml:space="preserve"> Тезата е директен отговор на проблема в заглавието. Тя включва основно твърдение (Т) и подтези (Т1, Т2, Т3), които служат за „карта“ на съчинението.</w:t>
      </w:r>
    </w:p>
    <w:p w:rsidR="005D018F" w:rsidRDefault="005D018F" w:rsidP="005D018F">
      <w:pPr>
        <w:pStyle w:val="bul2"/>
      </w:pPr>
      <w:r>
        <w:t>Приложение върху темата:</w:t>
      </w:r>
    </w:p>
    <w:p w:rsidR="005D018F" w:rsidRDefault="005D018F" w:rsidP="005D018F">
      <w:pPr>
        <w:pStyle w:val="a"/>
      </w:pPr>
      <w:r>
        <w:rPr>
          <w:b/>
          <w:bCs/>
        </w:rPr>
        <w:t>(Т):</w:t>
      </w:r>
      <w:r>
        <w:t xml:space="preserve"> В „Спасова могила“ надеждата е единствената сила, която осмисля човешкото страдание и превръща трагичния край в мистично възнесение.</w:t>
      </w:r>
    </w:p>
    <w:p w:rsidR="005D018F" w:rsidRDefault="005D018F" w:rsidP="005D018F">
      <w:pPr>
        <w:pStyle w:val="a"/>
      </w:pPr>
      <w:r>
        <w:rPr>
          <w:b/>
          <w:bCs/>
        </w:rPr>
        <w:t>(Т1):</w:t>
      </w:r>
      <w:r>
        <w:t xml:space="preserve"> Пътят към върха на могилата е метафора на човешкото движение от ниското (отчаянието) към високото (божественото).</w:t>
      </w:r>
    </w:p>
    <w:p w:rsidR="005D018F" w:rsidRDefault="005D018F" w:rsidP="005D018F">
      <w:pPr>
        <w:pStyle w:val="a"/>
      </w:pPr>
      <w:r>
        <w:rPr>
          <w:b/>
          <w:bCs/>
        </w:rPr>
        <w:t>(Т2):</w:t>
      </w:r>
      <w:r>
        <w:t xml:space="preserve"> Сблъсъкът между „болния свят“ и съня на Монката разкрива две лица на вярата – битово-религиозното и чистото детско очакване на чудото.</w:t>
      </w:r>
    </w:p>
    <w:p w:rsidR="005D018F" w:rsidRDefault="005D018F" w:rsidP="005D018F">
      <w:pPr>
        <w:pStyle w:val="a"/>
      </w:pPr>
      <w:r>
        <w:rPr>
          <w:b/>
          <w:bCs/>
        </w:rPr>
        <w:t>(Т3):</w:t>
      </w:r>
      <w:r>
        <w:t xml:space="preserve"> Смъртта на финала не е поражение на надеждата, а нейното окончателно реализиране в един по-добър свят.</w:t>
      </w:r>
    </w:p>
    <w:p w:rsidR="005D018F" w:rsidRDefault="005D018F" w:rsidP="005D018F">
      <w:pPr>
        <w:pStyle w:val="Heading3"/>
      </w:pPr>
      <w:r>
        <w:t>Стъпка 3: Аргументация – Блок I (Мотивът за Пътя)</w:t>
      </w:r>
    </w:p>
    <w:p w:rsidR="005D018F" w:rsidRDefault="005D018F" w:rsidP="005D018F">
      <w:pPr>
        <w:pStyle w:val="bul"/>
      </w:pPr>
      <w:r>
        <w:rPr>
          <w:b/>
          <w:bCs/>
        </w:rPr>
        <w:t>Методическо правило:</w:t>
      </w:r>
      <w:r>
        <w:t xml:space="preserve"> Изграждане на микротекст: Разсъждение -&gt; Пример (цитат) -&gt; Интертекстуална връзка -&gt; Обобщение.</w:t>
      </w:r>
    </w:p>
    <w:p w:rsidR="005D018F" w:rsidRDefault="005D018F" w:rsidP="00BA7559">
      <w:pPr>
        <w:pStyle w:val="bul2"/>
      </w:pPr>
      <w:r>
        <w:rPr>
          <w:b/>
          <w:bCs/>
        </w:rPr>
        <w:t>Приложение върху темата:</w:t>
      </w:r>
      <w:r>
        <w:t xml:space="preserve"> Пътят към Спасова могила е физическо и духовно изкачване. Дядо Захари носи Монката, борейки се с умората, докато наоколо пъпли „мравуняк“ от страдащи.</w:t>
      </w:r>
    </w:p>
    <w:p w:rsidR="005D018F" w:rsidRDefault="005D018F" w:rsidP="00BA7559">
      <w:pPr>
        <w:pStyle w:val="bul2"/>
      </w:pPr>
      <w:r>
        <w:rPr>
          <w:b/>
          <w:bCs/>
        </w:rPr>
        <w:t>Интертекстуална връзка:</w:t>
      </w:r>
      <w:r>
        <w:t xml:space="preserve"> Този „път на надеждата“ ни свързва пряко с </w:t>
      </w:r>
      <w:r>
        <w:rPr>
          <w:b/>
          <w:bCs/>
        </w:rPr>
        <w:t>Йовковия разказ „По жицата“</w:t>
      </w:r>
      <w:r>
        <w:t>. Докато при Йовков пътят е хоризонтален (през добруджанското поле в търсене на бялата лястовица), при Елин Пелин той е вертикален – към върха, към небето. И в двете творби Пътят е израз на отказа на човека да се примири с отчаянието.</w:t>
      </w:r>
    </w:p>
    <w:p w:rsidR="005D018F" w:rsidRDefault="005D018F" w:rsidP="00BA7559">
      <w:pPr>
        <w:pStyle w:val="Heading3"/>
      </w:pPr>
      <w:r>
        <w:t>Стъпка 4: Аргументация – Блок II (Лицата на надеждата)</w:t>
      </w:r>
    </w:p>
    <w:p w:rsidR="005D018F" w:rsidRDefault="005D018F" w:rsidP="00BA7559">
      <w:pPr>
        <w:pStyle w:val="bul"/>
      </w:pPr>
      <w:r>
        <w:rPr>
          <w:b/>
          <w:bCs/>
        </w:rPr>
        <w:t>Методическо правило:</w:t>
      </w:r>
      <w:r>
        <w:t xml:space="preserve"> Тълкуване на художествените факти през призмата на проблема.</w:t>
      </w:r>
    </w:p>
    <w:p w:rsidR="005D018F" w:rsidRDefault="005D018F" w:rsidP="00BA7559">
      <w:pPr>
        <w:pStyle w:val="bul2"/>
      </w:pPr>
      <w:r>
        <w:rPr>
          <w:b/>
          <w:bCs/>
        </w:rPr>
        <w:t>Приложение върху темата:</w:t>
      </w:r>
      <w:r>
        <w:t xml:space="preserve"> В разказа надеждата се появява в мига, в който земните средства са изчерпани.</w:t>
      </w:r>
    </w:p>
    <w:p w:rsidR="005D018F" w:rsidRDefault="005D018F" w:rsidP="00BA7559">
      <w:pPr>
        <w:pStyle w:val="bul2"/>
      </w:pPr>
      <w:r>
        <w:rPr>
          <w:b/>
          <w:bCs/>
        </w:rPr>
        <w:t>Интертекстуална връзка с Яворов („Градушка“):</w:t>
      </w:r>
      <w:r>
        <w:t xml:space="preserve"> В „Градушка“ надеждата е „утешителка“, която идва след зимата и пролетта, за да „позлати“ нивите и труда на селяка. При Елин Пелин обаче надеждата е по-радикална – тя не чака жътва, а чака самото небе да се отвори. Ако при Яворов тя е свързана с оцеляването на труда, то при Елин Пелин тя е свързана с оцеляването на душата.</w:t>
      </w:r>
    </w:p>
    <w:p w:rsidR="005D018F" w:rsidRDefault="005D018F" w:rsidP="005D018F">
      <w:pPr>
        <w:pStyle w:val="Heading3"/>
      </w:pPr>
      <w:r>
        <w:t>Стъпка 5: Аргументация – Блок III (Природата на вярата)</w:t>
      </w:r>
    </w:p>
    <w:p w:rsidR="005D018F" w:rsidRDefault="005D018F" w:rsidP="00BA7559">
      <w:pPr>
        <w:pStyle w:val="bul"/>
      </w:pPr>
      <w:r>
        <w:rPr>
          <w:b/>
          <w:bCs/>
        </w:rPr>
        <w:t>Методическо правило:</w:t>
      </w:r>
      <w:r>
        <w:t xml:space="preserve"> Анализ на психологическите състояния и препратки към ценностни системи.</w:t>
      </w:r>
    </w:p>
    <w:p w:rsidR="005D018F" w:rsidRDefault="005D018F" w:rsidP="00BA7559">
      <w:pPr>
        <w:pStyle w:val="bul2"/>
      </w:pPr>
      <w:r>
        <w:rPr>
          <w:b/>
          <w:bCs/>
        </w:rPr>
        <w:t>Приложение върху темата:</w:t>
      </w:r>
      <w:r>
        <w:t xml:space="preserve"> Вярата на Монката и дядо Захари е метафизична, тя очаква „дядо Господ“ със златен венец и ангелче.</w:t>
      </w:r>
    </w:p>
    <w:p w:rsidR="005D018F" w:rsidRDefault="005D018F" w:rsidP="006F2CA0">
      <w:pPr>
        <w:pStyle w:val="bul2"/>
      </w:pPr>
      <w:r>
        <w:rPr>
          <w:b/>
          <w:bCs/>
        </w:rPr>
        <w:lastRenderedPageBreak/>
        <w:t>Интертекстуална връзка с Вапцаров:</w:t>
      </w:r>
      <w:r>
        <w:t xml:space="preserve"> Трябва да разграничим тази религиозна, мистична вяра от </w:t>
      </w:r>
      <w:r>
        <w:rPr>
          <w:b/>
          <w:bCs/>
        </w:rPr>
        <w:t>„Вярата“ на Вапцаров</w:t>
      </w:r>
      <w:r>
        <w:t xml:space="preserve">. При Вапцаров вярата е бронирана, „в гърдите“, тя е за </w:t>
      </w:r>
      <w:r w:rsidR="006F2CA0">
        <w:t>„</w:t>
      </w:r>
      <w:r>
        <w:t>тук и сега</w:t>
      </w:r>
      <w:r w:rsidR="006F2CA0">
        <w:t>“</w:t>
      </w:r>
      <w:r>
        <w:t>, за бъдещето на земята и човека („Животът ще бъде по-хубав от песен“). Тя не чака ангелче, а разчита на човешката воля. Вярата в „Спасова могила“ е смирение пред Бога, докато вярата на Вапцаров е бунт и борба за земно щастие.</w:t>
      </w:r>
    </w:p>
    <w:p w:rsidR="005D018F" w:rsidRDefault="005D018F" w:rsidP="00BA7559">
      <w:pPr>
        <w:pStyle w:val="Heading3"/>
      </w:pPr>
      <w:r>
        <w:t>Стъпка 6: Заключение</w:t>
      </w:r>
    </w:p>
    <w:p w:rsidR="000079A5" w:rsidRDefault="000079A5" w:rsidP="000079A5">
      <w:pPr>
        <w:pStyle w:val="bul"/>
        <w:rPr>
          <w:rFonts w:ascii="Times New Roman" w:hAnsi="Times New Roman"/>
          <w:szCs w:val="24"/>
        </w:rPr>
      </w:pPr>
      <w:r>
        <w:rPr>
          <w:b/>
          <w:bCs/>
        </w:rPr>
        <w:t>Методическо правило:</w:t>
      </w:r>
      <w:r>
        <w:t xml:space="preserve"> Синтезира най-важните изводи от аргументацията, потвърждава тезата на ново, по-високо ниво и изразява лична позиция относно философското послание на автора.</w:t>
      </w:r>
    </w:p>
    <w:p w:rsidR="000079A5" w:rsidRPr="00BA7559" w:rsidRDefault="000079A5" w:rsidP="006F2CA0">
      <w:pPr>
        <w:pStyle w:val="bul2"/>
      </w:pPr>
      <w:r>
        <w:rPr>
          <w:b/>
          <w:bCs/>
        </w:rPr>
        <w:t>Приложение върху темата:</w:t>
      </w:r>
      <w:r>
        <w:t xml:space="preserve"> Финалът на разказа не е просто край на един кратък детски живот, а окончателно и пречистващо разрешаване на конфликта </w:t>
      </w:r>
      <w:r>
        <w:rPr>
          <w:b/>
          <w:bCs/>
        </w:rPr>
        <w:t>между отчаянието и надеждата</w:t>
      </w:r>
      <w:r>
        <w:t xml:space="preserve">. Докато тълпата от „болния свят“ бяга надолу по склона в суетен опит механично да „остави болестта“, </w:t>
      </w:r>
      <w:proofErr w:type="spellStart"/>
      <w:r>
        <w:t>Монката</w:t>
      </w:r>
      <w:proofErr w:type="spellEnd"/>
      <w:r>
        <w:t xml:space="preserve"> постига </w:t>
      </w:r>
      <w:r w:rsidR="006F2CA0">
        <w:t>своето</w:t>
      </w:r>
      <w:r>
        <w:t xml:space="preserve"> изцеление чрез смъртта. Неговата </w:t>
      </w:r>
      <w:r>
        <w:rPr>
          <w:b/>
          <w:bCs/>
        </w:rPr>
        <w:t>„лека и чудна детска усмивка“</w:t>
      </w:r>
      <w:r>
        <w:t xml:space="preserve"> е художественото доказателство, че в граничната ситуация на прехода надеждата е победила земното страдание. Тя не носи физическо здраве, но дарява духовен покой, превръщайки трагедията в мистично възнесение. Чрез завръщането на детето в „скута на майка си“ Елин Пелин внушава, че надеждата е единственият мост, по който човекът може да премине отвъд отчаянието, за да намери своя окончателен пристан във вечността.</w:t>
      </w:r>
    </w:p>
    <w:p w:rsidR="00767B2A" w:rsidRDefault="00767B2A" w:rsidP="00767B2A">
      <w:pPr>
        <w:pStyle w:val="Heading3"/>
        <w:rPr>
          <w:rFonts w:ascii="Times New Roman" w:hAnsi="Times New Roman"/>
          <w:szCs w:val="27"/>
        </w:rPr>
      </w:pPr>
      <w:r>
        <w:t xml:space="preserve">ПРИЛОЖЕНИЕ: </w:t>
      </w:r>
      <w:r w:rsidR="006F2CA0">
        <w:t xml:space="preserve">Разни </w:t>
      </w:r>
      <w:proofErr w:type="spellStart"/>
      <w:r w:rsidR="006F2CA0">
        <w:t>интертекстуални</w:t>
      </w:r>
      <w:proofErr w:type="spellEnd"/>
      <w:r w:rsidR="006F2CA0">
        <w:t xml:space="preserve"> </w:t>
      </w:r>
      <w:r>
        <w:t>връзки (Мостчета)</w:t>
      </w:r>
    </w:p>
    <w:p w:rsidR="00767B2A" w:rsidRDefault="00767B2A" w:rsidP="00767B2A">
      <w:pPr>
        <w:pStyle w:val="Heading4"/>
      </w:pPr>
      <w:r>
        <w:t>1. „Косачи“ (Елин Пелин) – Приказното срещу реалността</w:t>
      </w:r>
    </w:p>
    <w:p w:rsidR="00767B2A" w:rsidRDefault="00767B2A" w:rsidP="00767B2A">
      <w:pPr>
        <w:pStyle w:val="NormalWeb"/>
        <w:numPr>
          <w:ilvl w:val="0"/>
          <w:numId w:val="36"/>
        </w:numPr>
      </w:pPr>
      <w:r>
        <w:rPr>
          <w:b/>
          <w:bCs/>
        </w:rPr>
        <w:t>Точка на свързване:</w:t>
      </w:r>
      <w:r>
        <w:t xml:space="preserve"> Ролята на измислицата като спасение от грубия бит.</w:t>
      </w:r>
    </w:p>
    <w:p w:rsidR="00767B2A" w:rsidRDefault="00767B2A" w:rsidP="00767B2A">
      <w:pPr>
        <w:pStyle w:val="NormalWeb"/>
        <w:numPr>
          <w:ilvl w:val="0"/>
          <w:numId w:val="36"/>
        </w:numPr>
      </w:pPr>
      <w:r>
        <w:rPr>
          <w:b/>
          <w:bCs/>
        </w:rPr>
        <w:t>Функция в аргументацията:</w:t>
      </w:r>
      <w:r>
        <w:t xml:space="preserve"> Както Благолажът настоява, че приказката е необходима, за да се понесе „сивата“ реалност, така и в „Спасова могила“ дядо Захари гради „приказката“ за дядо Господ.</w:t>
      </w:r>
    </w:p>
    <w:p w:rsidR="00767B2A" w:rsidRDefault="00767B2A" w:rsidP="00767B2A">
      <w:pPr>
        <w:pStyle w:val="NormalWeb"/>
        <w:numPr>
          <w:ilvl w:val="0"/>
          <w:numId w:val="36"/>
        </w:numPr>
      </w:pPr>
      <w:r>
        <w:rPr>
          <w:b/>
          <w:bCs/>
        </w:rPr>
        <w:t>Аргумент:</w:t>
      </w:r>
      <w:r>
        <w:t xml:space="preserve"> Вярата в неслучилото се е механизъм за оцеляване на духа. „Светата лъжа“ в „Спасова могила“ е същата тази „благолажна“ истина, която прави живота поносим.</w:t>
      </w:r>
    </w:p>
    <w:p w:rsidR="00767B2A" w:rsidRDefault="00767B2A" w:rsidP="00767B2A">
      <w:pPr>
        <w:pStyle w:val="Heading4"/>
      </w:pPr>
      <w:r>
        <w:t>2. „По жицата“ (Йордан Йовков) – Пътят и символът</w:t>
      </w:r>
    </w:p>
    <w:p w:rsidR="00767B2A" w:rsidRDefault="00767B2A" w:rsidP="00767B2A">
      <w:pPr>
        <w:pStyle w:val="NormalWeb"/>
        <w:numPr>
          <w:ilvl w:val="0"/>
          <w:numId w:val="37"/>
        </w:numPr>
      </w:pPr>
      <w:r>
        <w:rPr>
          <w:b/>
          <w:bCs/>
        </w:rPr>
        <w:t>Точка на свързване:</w:t>
      </w:r>
      <w:r>
        <w:t xml:space="preserve"> Мотивът за Пътя и надеждата, въплътена в ирационален символ.</w:t>
      </w:r>
    </w:p>
    <w:p w:rsidR="00767B2A" w:rsidRDefault="00767B2A" w:rsidP="00767B2A">
      <w:pPr>
        <w:pStyle w:val="NormalWeb"/>
        <w:numPr>
          <w:ilvl w:val="0"/>
          <w:numId w:val="37"/>
        </w:numPr>
      </w:pPr>
      <w:r>
        <w:rPr>
          <w:b/>
          <w:bCs/>
        </w:rPr>
        <w:t>Функция в аргументацията:</w:t>
      </w:r>
      <w:r>
        <w:t xml:space="preserve"> Сравнение между хоризонталния път на Гунчо (полето) и вертикалния на дядо Захари (могилата).</w:t>
      </w:r>
    </w:p>
    <w:p w:rsidR="00767B2A" w:rsidRDefault="00767B2A" w:rsidP="006F2CA0">
      <w:pPr>
        <w:pStyle w:val="NormalWeb"/>
        <w:numPr>
          <w:ilvl w:val="0"/>
          <w:numId w:val="37"/>
        </w:numPr>
      </w:pPr>
      <w:r>
        <w:rPr>
          <w:b/>
          <w:bCs/>
        </w:rPr>
        <w:t>Аргумент:</w:t>
      </w:r>
      <w:r>
        <w:t xml:space="preserve"> Бялата лястовица и видението за „златния венец“ на Бога са образи-близнаци. Те не лекуват тялото, но спасяват човечността. И двамата </w:t>
      </w:r>
      <w:r w:rsidR="006F2CA0">
        <w:t xml:space="preserve">герои (дядо Захари и </w:t>
      </w:r>
      <w:proofErr w:type="spellStart"/>
      <w:r w:rsidR="006F2CA0">
        <w:t>Моканина</w:t>
      </w:r>
      <w:proofErr w:type="spellEnd"/>
      <w:r w:rsidR="006F2CA0">
        <w:t>)</w:t>
      </w:r>
      <w:r w:rsidR="00511AA1">
        <w:t xml:space="preserve"> </w:t>
      </w:r>
      <w:r>
        <w:t>избират да потвърдят илюзията, за да дадат покой на страдащия.</w:t>
      </w:r>
    </w:p>
    <w:p w:rsidR="00767B2A" w:rsidRDefault="00767B2A" w:rsidP="00767B2A">
      <w:pPr>
        <w:pStyle w:val="Heading4"/>
      </w:pPr>
      <w:r>
        <w:t>3. „Майчина сълза“ (Ангел Каралийчев) – Майчината любов и отвъдното</w:t>
      </w:r>
    </w:p>
    <w:p w:rsidR="00767B2A" w:rsidRDefault="00767B2A" w:rsidP="00767B2A">
      <w:pPr>
        <w:pStyle w:val="NormalWeb"/>
        <w:numPr>
          <w:ilvl w:val="0"/>
          <w:numId w:val="38"/>
        </w:numPr>
      </w:pPr>
      <w:r>
        <w:rPr>
          <w:b/>
          <w:bCs/>
        </w:rPr>
        <w:t>Точка на свързване:</w:t>
      </w:r>
      <w:r>
        <w:t xml:space="preserve"> Образът на майката като крайна точка на страданието и утехата.</w:t>
      </w:r>
    </w:p>
    <w:p w:rsidR="00767B2A" w:rsidRDefault="00767B2A" w:rsidP="00767B2A">
      <w:pPr>
        <w:pStyle w:val="NormalWeb"/>
        <w:numPr>
          <w:ilvl w:val="0"/>
          <w:numId w:val="38"/>
        </w:numPr>
      </w:pPr>
      <w:r>
        <w:rPr>
          <w:b/>
          <w:bCs/>
        </w:rPr>
        <w:t>Функция в аргументацията:</w:t>
      </w:r>
      <w:r>
        <w:t xml:space="preserve"> Паралел между финала на двете творби.</w:t>
      </w:r>
    </w:p>
    <w:p w:rsidR="00767B2A" w:rsidRDefault="00767B2A" w:rsidP="00767B2A">
      <w:pPr>
        <w:pStyle w:val="NormalWeb"/>
        <w:numPr>
          <w:ilvl w:val="0"/>
          <w:numId w:val="38"/>
        </w:numPr>
      </w:pPr>
      <w:r>
        <w:rPr>
          <w:b/>
          <w:bCs/>
        </w:rPr>
        <w:t>Аргумент:</w:t>
      </w:r>
      <w:r>
        <w:t xml:space="preserve"> В „Майчина сълза“ сълзата е тази, която „измива“ страданието и връща надеждата. В „Спасова могила“ финалното „възнесение“ на Монката е завръщане „в скута на майка си“. И п</w:t>
      </w:r>
      <w:r w:rsidR="006F2CA0">
        <w:t>ри Каралийчев, и при Елин Пелин</w:t>
      </w:r>
      <w:r>
        <w:t xml:space="preserve"> майчината фигура е символ </w:t>
      </w:r>
      <w:r>
        <w:lastRenderedPageBreak/>
        <w:t>на безусловната любов, която е по-силна от смъртта и е единственото място, където „болната душа“ намира покой.</w:t>
      </w:r>
    </w:p>
    <w:p w:rsidR="005D018F" w:rsidRDefault="00767B2A" w:rsidP="005D018F">
      <w:pPr>
        <w:rPr>
          <w:lang w:eastAsia="en-US"/>
        </w:rPr>
      </w:pPr>
      <w:r>
        <w:rPr>
          <w:lang w:eastAsia="en-US"/>
        </w:rPr>
        <w:t>Как да ги използваме: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87"/>
        <w:gridCol w:w="6241"/>
      </w:tblGrid>
      <w:tr w:rsidR="00767B2A" w:rsidRPr="00767B2A" w:rsidTr="00767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67B2A" w:rsidRPr="00767B2A" w:rsidRDefault="00767B2A" w:rsidP="00767B2A">
            <w:pPr>
              <w:pStyle w:val="a1"/>
            </w:pPr>
            <w:r w:rsidRPr="00767B2A">
              <w:rPr>
                <w:bdr w:val="none" w:sz="0" w:space="0" w:color="auto" w:frame="1"/>
              </w:rPr>
              <w:t>Подтеза</w:t>
            </w:r>
          </w:p>
        </w:tc>
        <w:tc>
          <w:tcPr>
            <w:tcW w:w="0" w:type="auto"/>
            <w:hideMark/>
          </w:tcPr>
          <w:p w:rsidR="00767B2A" w:rsidRPr="00767B2A" w:rsidRDefault="00767B2A" w:rsidP="00767B2A">
            <w:pPr>
              <w:pStyle w:val="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7B2A">
              <w:rPr>
                <w:bdr w:val="none" w:sz="0" w:space="0" w:color="auto" w:frame="1"/>
              </w:rPr>
              <w:t>Подходящо мостче</w:t>
            </w:r>
          </w:p>
        </w:tc>
      </w:tr>
      <w:tr w:rsidR="00767B2A" w:rsidRPr="00767B2A" w:rsidTr="0076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67B2A" w:rsidRPr="00767B2A" w:rsidRDefault="00767B2A" w:rsidP="00767B2A">
            <w:pPr>
              <w:pStyle w:val="a1"/>
            </w:pPr>
            <w:r w:rsidRPr="00767B2A">
              <w:rPr>
                <w:bdr w:val="none" w:sz="0" w:space="0" w:color="auto" w:frame="1"/>
              </w:rPr>
              <w:t>Т1: Социалното отчаяние</w:t>
            </w:r>
          </w:p>
        </w:tc>
        <w:tc>
          <w:tcPr>
            <w:tcW w:w="0" w:type="auto"/>
            <w:hideMark/>
          </w:tcPr>
          <w:p w:rsidR="00767B2A" w:rsidRPr="00767B2A" w:rsidRDefault="00767B2A" w:rsidP="00767B2A">
            <w:pPr>
              <w:pStyle w:val="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B2A">
              <w:rPr>
                <w:bdr w:val="none" w:sz="0" w:space="0" w:color="auto" w:frame="1"/>
              </w:rPr>
              <w:t>„По жицата“ (бедността и безпомощността на бащата)</w:t>
            </w:r>
          </w:p>
        </w:tc>
      </w:tr>
      <w:tr w:rsidR="00767B2A" w:rsidRPr="00767B2A" w:rsidTr="0076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67B2A" w:rsidRPr="00767B2A" w:rsidRDefault="00767B2A" w:rsidP="00767B2A">
            <w:pPr>
              <w:pStyle w:val="a1"/>
            </w:pPr>
            <w:r w:rsidRPr="00767B2A">
              <w:rPr>
                <w:bdr w:val="none" w:sz="0" w:space="0" w:color="auto" w:frame="1"/>
              </w:rPr>
              <w:t>Т2: Ролята на надеждата/лъжата</w:t>
            </w:r>
          </w:p>
        </w:tc>
        <w:tc>
          <w:tcPr>
            <w:tcW w:w="0" w:type="auto"/>
            <w:hideMark/>
          </w:tcPr>
          <w:p w:rsidR="00767B2A" w:rsidRPr="00767B2A" w:rsidRDefault="00767B2A" w:rsidP="00767B2A">
            <w:pPr>
              <w:pStyle w:val="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B2A">
              <w:rPr>
                <w:bdr w:val="none" w:sz="0" w:space="0" w:color="auto" w:frame="1"/>
              </w:rPr>
              <w:t>„Косачи“ (нуждата от приказка, за да забравиш теглото)</w:t>
            </w:r>
          </w:p>
        </w:tc>
      </w:tr>
      <w:tr w:rsidR="00767B2A" w:rsidRPr="00767B2A" w:rsidTr="0076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67B2A" w:rsidRPr="00767B2A" w:rsidRDefault="00767B2A" w:rsidP="00767B2A">
            <w:pPr>
              <w:pStyle w:val="a1"/>
            </w:pPr>
            <w:r w:rsidRPr="00767B2A">
              <w:rPr>
                <w:bdr w:val="none" w:sz="0" w:space="0" w:color="auto" w:frame="1"/>
              </w:rPr>
              <w:t>Т3: Изходът/Смъртта</w:t>
            </w:r>
          </w:p>
        </w:tc>
        <w:tc>
          <w:tcPr>
            <w:tcW w:w="0" w:type="auto"/>
            <w:hideMark/>
          </w:tcPr>
          <w:p w:rsidR="00767B2A" w:rsidRPr="00767B2A" w:rsidRDefault="00767B2A" w:rsidP="00767B2A">
            <w:pPr>
              <w:pStyle w:val="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B2A">
              <w:rPr>
                <w:bdr w:val="none" w:sz="0" w:space="0" w:color="auto" w:frame="1"/>
              </w:rPr>
              <w:t>„Майчина сълза“ (утехата, която само майчината любов/образ дава)</w:t>
            </w:r>
          </w:p>
        </w:tc>
      </w:tr>
    </w:tbl>
    <w:p w:rsidR="00767B2A" w:rsidRPr="005D018F" w:rsidRDefault="00767B2A" w:rsidP="005D018F">
      <w:pPr>
        <w:rPr>
          <w:lang w:eastAsia="en-US"/>
        </w:rPr>
      </w:pPr>
    </w:p>
    <w:sectPr w:rsidR="00767B2A" w:rsidRPr="005D018F" w:rsidSect="00BE48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8B4"/>
    <w:multiLevelType w:val="hybridMultilevel"/>
    <w:tmpl w:val="3B54751E"/>
    <w:lvl w:ilvl="0" w:tplc="FD205B4C">
      <w:start w:val="1"/>
      <w:numFmt w:val="bullet"/>
      <w:pStyle w:val="--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53B1"/>
    <w:multiLevelType w:val="multilevel"/>
    <w:tmpl w:val="D64E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630C1"/>
    <w:multiLevelType w:val="multilevel"/>
    <w:tmpl w:val="0D72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4584"/>
    <w:multiLevelType w:val="multilevel"/>
    <w:tmpl w:val="3EC8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108C9"/>
    <w:multiLevelType w:val="multilevel"/>
    <w:tmpl w:val="56C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761CA"/>
    <w:multiLevelType w:val="multilevel"/>
    <w:tmpl w:val="BF9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54B3"/>
    <w:multiLevelType w:val="hybridMultilevel"/>
    <w:tmpl w:val="D0FCFE10"/>
    <w:lvl w:ilvl="0" w:tplc="B2D64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4D12"/>
    <w:multiLevelType w:val="hybridMultilevel"/>
    <w:tmpl w:val="FB42D576"/>
    <w:lvl w:ilvl="0" w:tplc="1D0804C4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BA56FE"/>
    <w:multiLevelType w:val="multilevel"/>
    <w:tmpl w:val="2AA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278BF"/>
    <w:multiLevelType w:val="multilevel"/>
    <w:tmpl w:val="344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D1667"/>
    <w:multiLevelType w:val="hybridMultilevel"/>
    <w:tmpl w:val="FEBE886C"/>
    <w:lvl w:ilvl="0" w:tplc="0D54AC9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223D1"/>
    <w:multiLevelType w:val="multilevel"/>
    <w:tmpl w:val="613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1274B"/>
    <w:multiLevelType w:val="multilevel"/>
    <w:tmpl w:val="3F7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55060"/>
    <w:multiLevelType w:val="multilevel"/>
    <w:tmpl w:val="4DC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67A84"/>
    <w:multiLevelType w:val="multilevel"/>
    <w:tmpl w:val="D74A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933E2"/>
    <w:multiLevelType w:val="multilevel"/>
    <w:tmpl w:val="5608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4D5FC3"/>
    <w:multiLevelType w:val="multilevel"/>
    <w:tmpl w:val="232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57F85"/>
    <w:multiLevelType w:val="hybridMultilevel"/>
    <w:tmpl w:val="AA701C52"/>
    <w:lvl w:ilvl="0" w:tplc="D6C86F22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F1941FA"/>
    <w:multiLevelType w:val="hybridMultilevel"/>
    <w:tmpl w:val="B02E3FE4"/>
    <w:lvl w:ilvl="0" w:tplc="273ECB68">
      <w:start w:val="1"/>
      <w:numFmt w:val="bullet"/>
      <w:pStyle w:val="bu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9"/>
  </w:num>
  <w:num w:numId="4">
    <w:abstractNumId w:val="6"/>
  </w:num>
  <w:num w:numId="5">
    <w:abstractNumId w:val="17"/>
  </w:num>
  <w:num w:numId="6">
    <w:abstractNumId w:val="7"/>
  </w:num>
  <w:num w:numId="7">
    <w:abstractNumId w:val="10"/>
  </w:num>
  <w:num w:numId="8">
    <w:abstractNumId w:val="15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7"/>
  </w:num>
  <w:num w:numId="16">
    <w:abstractNumId w:val="7"/>
  </w:num>
  <w:num w:numId="17">
    <w:abstractNumId w:val="7"/>
  </w:num>
  <w:num w:numId="18">
    <w:abstractNumId w:val="7"/>
  </w:num>
  <w:num w:numId="19">
    <w:abstractNumId w:val="18"/>
  </w:num>
  <w:num w:numId="20">
    <w:abstractNumId w:val="7"/>
  </w:num>
  <w:num w:numId="21">
    <w:abstractNumId w:val="0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11"/>
  </w:num>
  <w:num w:numId="30">
    <w:abstractNumId w:val="16"/>
  </w:num>
  <w:num w:numId="31">
    <w:abstractNumId w:val="1"/>
  </w:num>
  <w:num w:numId="32">
    <w:abstractNumId w:val="4"/>
  </w:num>
  <w:num w:numId="33">
    <w:abstractNumId w:val="2"/>
  </w:num>
  <w:num w:numId="34">
    <w:abstractNumId w:val="14"/>
  </w:num>
  <w:num w:numId="35">
    <w:abstractNumId w:val="8"/>
  </w:num>
  <w:num w:numId="36">
    <w:abstractNumId w:val="9"/>
  </w:num>
  <w:num w:numId="37">
    <w:abstractNumId w:val="5"/>
  </w:num>
  <w:num w:numId="38">
    <w:abstractNumId w:val="13"/>
  </w:num>
  <w:num w:numId="39">
    <w:abstractNumId w:val="1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8F"/>
    <w:rsid w:val="000031FE"/>
    <w:rsid w:val="00006897"/>
    <w:rsid w:val="000079A5"/>
    <w:rsid w:val="000138AF"/>
    <w:rsid w:val="00033E8D"/>
    <w:rsid w:val="000373B7"/>
    <w:rsid w:val="000464A4"/>
    <w:rsid w:val="00073DCC"/>
    <w:rsid w:val="000A66B4"/>
    <w:rsid w:val="000A7148"/>
    <w:rsid w:val="000B0855"/>
    <w:rsid w:val="000B187A"/>
    <w:rsid w:val="00101D0C"/>
    <w:rsid w:val="00125ACE"/>
    <w:rsid w:val="001A2F41"/>
    <w:rsid w:val="001C1F3E"/>
    <w:rsid w:val="001C4D85"/>
    <w:rsid w:val="001F28D6"/>
    <w:rsid w:val="002220F4"/>
    <w:rsid w:val="0024219F"/>
    <w:rsid w:val="002473E5"/>
    <w:rsid w:val="00287678"/>
    <w:rsid w:val="002E5928"/>
    <w:rsid w:val="002F792A"/>
    <w:rsid w:val="00304488"/>
    <w:rsid w:val="003652CB"/>
    <w:rsid w:val="003A0D9C"/>
    <w:rsid w:val="00422625"/>
    <w:rsid w:val="00460CC0"/>
    <w:rsid w:val="004624F9"/>
    <w:rsid w:val="004911F0"/>
    <w:rsid w:val="004A1BF2"/>
    <w:rsid w:val="00511AA1"/>
    <w:rsid w:val="0051386E"/>
    <w:rsid w:val="00515214"/>
    <w:rsid w:val="005578C6"/>
    <w:rsid w:val="0058485D"/>
    <w:rsid w:val="00587B8D"/>
    <w:rsid w:val="005C5213"/>
    <w:rsid w:val="005C5A6F"/>
    <w:rsid w:val="005D018F"/>
    <w:rsid w:val="005E12A5"/>
    <w:rsid w:val="00613448"/>
    <w:rsid w:val="00651590"/>
    <w:rsid w:val="00666244"/>
    <w:rsid w:val="006C0AB4"/>
    <w:rsid w:val="006C734D"/>
    <w:rsid w:val="006F2CA0"/>
    <w:rsid w:val="00720D4A"/>
    <w:rsid w:val="00724DA6"/>
    <w:rsid w:val="0074134A"/>
    <w:rsid w:val="00767B2A"/>
    <w:rsid w:val="0077675C"/>
    <w:rsid w:val="007A15BA"/>
    <w:rsid w:val="007F3186"/>
    <w:rsid w:val="008271DB"/>
    <w:rsid w:val="00843792"/>
    <w:rsid w:val="00845666"/>
    <w:rsid w:val="008708AE"/>
    <w:rsid w:val="00882594"/>
    <w:rsid w:val="008D3A7C"/>
    <w:rsid w:val="008E3D6F"/>
    <w:rsid w:val="00937120"/>
    <w:rsid w:val="0098301A"/>
    <w:rsid w:val="0099604A"/>
    <w:rsid w:val="009C608D"/>
    <w:rsid w:val="009C67BB"/>
    <w:rsid w:val="009E7969"/>
    <w:rsid w:val="00A341DB"/>
    <w:rsid w:val="00A85C9C"/>
    <w:rsid w:val="00AE1FA4"/>
    <w:rsid w:val="00AF5DBE"/>
    <w:rsid w:val="00B16A5E"/>
    <w:rsid w:val="00B407DA"/>
    <w:rsid w:val="00B46CE0"/>
    <w:rsid w:val="00B95197"/>
    <w:rsid w:val="00BA7559"/>
    <w:rsid w:val="00BC5C34"/>
    <w:rsid w:val="00BD1B7A"/>
    <w:rsid w:val="00BD2200"/>
    <w:rsid w:val="00BE48A9"/>
    <w:rsid w:val="00C33628"/>
    <w:rsid w:val="00C46235"/>
    <w:rsid w:val="00CB6DA0"/>
    <w:rsid w:val="00D512A4"/>
    <w:rsid w:val="00DE203D"/>
    <w:rsid w:val="00DF509C"/>
    <w:rsid w:val="00E00C05"/>
    <w:rsid w:val="00E22235"/>
    <w:rsid w:val="00E25C69"/>
    <w:rsid w:val="00E53F30"/>
    <w:rsid w:val="00E94AC9"/>
    <w:rsid w:val="00E96243"/>
    <w:rsid w:val="00EB0909"/>
    <w:rsid w:val="00EC76EE"/>
    <w:rsid w:val="00F04DFA"/>
    <w:rsid w:val="00F66465"/>
    <w:rsid w:val="00F85741"/>
    <w:rsid w:val="00FC1C53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09568"/>
  <w15:chartTrackingRefBased/>
  <w15:docId w15:val="{B00C7621-A4CD-4707-8916-6CD01022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897"/>
    <w:pPr>
      <w:spacing w:line="259" w:lineRule="auto"/>
      <w:ind w:firstLine="397"/>
      <w:jc w:val="both"/>
    </w:pPr>
    <w:rPr>
      <w:rFonts w:ascii="Cambria" w:hAnsi="Cambria"/>
      <w:szCs w:val="24"/>
      <w:lang w:eastAsia="bg-BG"/>
    </w:rPr>
  </w:style>
  <w:style w:type="paragraph" w:styleId="Heading1">
    <w:name w:val="heading 1"/>
    <w:next w:val="Normal"/>
    <w:link w:val="Heading1Char"/>
    <w:uiPriority w:val="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"/>
    <w:unhideWhenUsed/>
    <w:qFormat/>
    <w:rsid w:val="005D018F"/>
    <w:pPr>
      <w:keepNext/>
      <w:keepLines/>
      <w:spacing w:before="12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18F"/>
    <w:pPr>
      <w:keepNext/>
      <w:keepLines/>
      <w:spacing w:before="240"/>
      <w:ind w:firstLine="0"/>
      <w:outlineLvl w:val="2"/>
    </w:pPr>
    <w:rPr>
      <w:rFonts w:cstheme="minorHAnsi"/>
      <w:b/>
      <w:bCs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4A4"/>
    <w:pPr>
      <w:keepNext/>
      <w:keepLines/>
      <w:spacing w:before="240" w:after="120"/>
      <w:outlineLvl w:val="4"/>
    </w:pPr>
    <w:rPr>
      <w:rFonts w:cstheme="majorBidi"/>
      <w:b/>
      <w:smallCaps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8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18F"/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0B0855"/>
    <w:pPr>
      <w:spacing w:before="80" w:after="80"/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6C734D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3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1C1F3E"/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 w:line="240" w:lineRule="auto"/>
      <w:ind w:firstLine="720"/>
    </w:pPr>
    <w:rPr>
      <w:rFonts w:ascii="Times New Roman" w:hAnsi="Times New Roman" w:cs="Times New Roman"/>
    </w:r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5D018F"/>
    <w:rPr>
      <w:rFonts w:ascii="Cambria" w:hAnsi="Cambria" w:cstheme="minorHAnsi"/>
      <w:b/>
      <w:bCs/>
      <w:color w:val="1F4D78" w:themeColor="accent1" w:themeShade="7F"/>
      <w:sz w:val="24"/>
      <w:szCs w:val="24"/>
      <w:lang w:eastAsia="bg-BG"/>
    </w:rPr>
  </w:style>
  <w:style w:type="paragraph" w:customStyle="1" w:styleId="a">
    <w:name w:val="чавка"/>
    <w:basedOn w:val="ListParagraph"/>
    <w:qFormat/>
    <w:rsid w:val="005D018F"/>
    <w:pPr>
      <w:numPr>
        <w:numId w:val="15"/>
      </w:numPr>
      <w:tabs>
        <w:tab w:val="left" w:pos="851"/>
      </w:tabs>
      <w:spacing w:line="264" w:lineRule="auto"/>
      <w:ind w:left="567" w:firstLine="0"/>
    </w:pPr>
    <w:rPr>
      <w:sz w:val="20"/>
    </w:r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</w:pPr>
    <w:rPr>
      <w:rFonts w:ascii="Times New Roman" w:hAnsi="Times New Roman" w:cs="Times New Roman"/>
      <w:color w:val="000000"/>
      <w:sz w:val="24"/>
    </w:rPr>
  </w:style>
  <w:style w:type="paragraph" w:customStyle="1" w:styleId="pesen">
    <w:name w:val="pesen"/>
    <w:qFormat/>
    <w:rsid w:val="002220F4"/>
    <w:pPr>
      <w:spacing w:before="120" w:line="242" w:lineRule="auto"/>
      <w:jc w:val="left"/>
    </w:pPr>
    <w:rPr>
      <w:rFonts w:asciiTheme="majorBidi" w:hAnsiTheme="majorBidi" w:cstheme="majorBidi"/>
      <w:i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5D018F"/>
    <w:pPr>
      <w:numPr>
        <w:numId w:val="28"/>
      </w:numPr>
      <w:tabs>
        <w:tab w:val="left" w:pos="227"/>
      </w:tabs>
      <w:spacing w:before="120"/>
      <w:ind w:left="0" w:firstLine="0"/>
      <w:jc w:val="left"/>
    </w:pPr>
    <w:rPr>
      <w:rFonts w:asciiTheme="majorBidi" w:hAnsiTheme="majorBidi" w:cstheme="majorBidi"/>
      <w:sz w:val="24"/>
      <w:u w:val="single"/>
      <w:lang w:eastAsia="bg-BG"/>
    </w:rPr>
  </w:style>
  <w:style w:type="paragraph" w:customStyle="1" w:styleId="tablica">
    <w:name w:val="tablica"/>
    <w:basedOn w:val="Normal"/>
    <w:qFormat/>
    <w:rsid w:val="008708AE"/>
    <w:pPr>
      <w:widowControl w:val="0"/>
      <w:kinsoku w:val="0"/>
      <w:overflowPunct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231F20"/>
      <w:spacing w:val="-5"/>
      <w:w w:val="9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464A4"/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paragraph" w:customStyle="1" w:styleId="bul2">
    <w:name w:val="bul2"/>
    <w:qFormat/>
    <w:rsid w:val="005D018F"/>
    <w:pPr>
      <w:numPr>
        <w:numId w:val="19"/>
      </w:numPr>
      <w:spacing w:before="120"/>
      <w:ind w:left="0" w:firstLine="357"/>
      <w:jc w:val="left"/>
    </w:pPr>
    <w:rPr>
      <w:rFonts w:ascii="Calibri" w:eastAsia="Calibri" w:hAnsi="Calibri" w:cs="Times New Roman"/>
      <w:sz w:val="24"/>
      <w:szCs w:val="20"/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rsid w:val="00E96243"/>
    <w:pPr>
      <w:tabs>
        <w:tab w:val="right" w:leader="dot" w:pos="9628"/>
      </w:tabs>
      <w:spacing w:before="40"/>
      <w:ind w:left="340" w:firstLine="0"/>
    </w:pPr>
    <w:rPr>
      <w:rFonts w:asciiTheme="majorHAnsi" w:hAnsiTheme="majorHAnsi" w:cstheme="majorHAnsi"/>
      <w:i/>
      <w:iCs/>
      <w:noProof/>
      <w:sz w:val="20"/>
      <w:szCs w:val="20"/>
    </w:rPr>
  </w:style>
  <w:style w:type="paragraph" w:customStyle="1" w:styleId="--">
    <w:name w:val="таб-бул-квадрат"/>
    <w:basedOn w:val="Normal"/>
    <w:qFormat/>
    <w:rsid w:val="000B0855"/>
    <w:pPr>
      <w:widowControl w:val="0"/>
      <w:numPr>
        <w:numId w:val="21"/>
      </w:numPr>
      <w:tabs>
        <w:tab w:val="left" w:pos="239"/>
      </w:tabs>
      <w:kinsoku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231F20"/>
      <w:spacing w:val="-5"/>
      <w:w w:val="95"/>
      <w:sz w:val="20"/>
      <w:szCs w:val="20"/>
    </w:rPr>
  </w:style>
  <w:style w:type="paragraph" w:customStyle="1" w:styleId="Normal-pr">
    <w:name w:val="Normal-pr"/>
    <w:basedOn w:val="Normal"/>
    <w:qFormat/>
    <w:rsid w:val="008271DB"/>
    <w:pPr>
      <w:spacing w:after="120"/>
    </w:pPr>
    <w:rPr>
      <w:rFonts w:ascii="Times New Roman" w:hAnsi="Times New Roman"/>
      <w:sz w:val="20"/>
    </w:rPr>
  </w:style>
  <w:style w:type="paragraph" w:customStyle="1" w:styleId="a5">
    <w:name w:val="инфо"/>
    <w:basedOn w:val="Heading6"/>
    <w:next w:val="Normal"/>
    <w:qFormat/>
    <w:rsid w:val="006C734D"/>
    <w:pPr>
      <w:tabs>
        <w:tab w:val="left" w:leader="dot" w:pos="5245"/>
        <w:tab w:val="left" w:leader="dot" w:pos="7938"/>
        <w:tab w:val="left" w:leader="dot" w:pos="9639"/>
      </w:tabs>
      <w:ind w:firstLine="0"/>
    </w:pPr>
    <w:rPr>
      <w:rFonts w:asciiTheme="minorBidi" w:hAnsiTheme="minorBidi" w:cstheme="min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8A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6">
    <w:name w:val="инструкции"/>
    <w:qFormat/>
    <w:rsid w:val="006C734D"/>
    <w:rPr>
      <w:rFonts w:asciiTheme="majorBidi" w:eastAsiaTheme="majorEastAsia" w:hAnsiTheme="majorBidi" w:cstheme="majorBidi"/>
      <w:color w:val="1F4D78" w:themeColor="accent1" w:themeShade="7F"/>
      <w:sz w:val="20"/>
      <w:szCs w:val="20"/>
      <w:lang w:eastAsia="bg-BG"/>
    </w:rPr>
  </w:style>
  <w:style w:type="paragraph" w:customStyle="1" w:styleId="a7">
    <w:name w:val="Верен отговор"/>
    <w:qFormat/>
    <w:rsid w:val="000031FE"/>
    <w:pPr>
      <w:spacing w:before="120" w:after="120"/>
      <w:ind w:left="227"/>
      <w:jc w:val="left"/>
    </w:pPr>
    <w:rPr>
      <w:rFonts w:ascii="Courier CA" w:hAnsi="Courier CA" w:cs="Times New Roman"/>
      <w:sz w:val="24"/>
      <w:szCs w:val="24"/>
      <w:lang w:eastAsia="bg-BG"/>
    </w:rPr>
  </w:style>
  <w:style w:type="paragraph" w:customStyle="1" w:styleId="Uf">
    <w:name w:val="Uf"/>
    <w:aliases w:val="ekjd"/>
    <w:qFormat/>
    <w:rsid w:val="00613448"/>
    <w:pPr>
      <w:spacing w:before="60" w:after="60"/>
      <w:ind w:left="-113"/>
      <w:jc w:val="left"/>
    </w:pPr>
    <w:rPr>
      <w:rFonts w:ascii="Courier New" w:hAnsi="Courier New" w:cs="Times New Roman"/>
      <w:sz w:val="24"/>
      <w:szCs w:val="24"/>
      <w:lang w:eastAsia="bg-BG"/>
    </w:rPr>
  </w:style>
  <w:style w:type="paragraph" w:customStyle="1" w:styleId="a8">
    <w:name w:val="оментар"/>
    <w:qFormat/>
    <w:rsid w:val="00613448"/>
    <w:pPr>
      <w:pBdr>
        <w:left w:val="thickThinMediumGap" w:sz="8" w:space="4" w:color="FF0000"/>
      </w:pBdr>
      <w:spacing w:before="60" w:after="60"/>
      <w:ind w:left="-284"/>
      <w:jc w:val="left"/>
    </w:pPr>
    <w:rPr>
      <w:rFonts w:ascii="Courier New" w:hAnsi="Courier New" w:cs="Times New Roman"/>
      <w:sz w:val="24"/>
      <w:szCs w:val="24"/>
      <w:lang w:eastAsia="bg-BG"/>
    </w:rPr>
  </w:style>
  <w:style w:type="paragraph" w:customStyle="1" w:styleId="a9">
    <w:name w:val="до кого"/>
    <w:qFormat/>
    <w:rsid w:val="005C5A6F"/>
    <w:pPr>
      <w:ind w:left="4820"/>
      <w:jc w:val="left"/>
    </w:pPr>
    <w:rPr>
      <w:rFonts w:asciiTheme="majorBidi" w:hAnsiTheme="majorBidi" w:cstheme="majorBidi"/>
    </w:rPr>
  </w:style>
  <w:style w:type="paragraph" w:styleId="NormalWeb">
    <w:name w:val="Normal (Web)"/>
    <w:basedOn w:val="Normal"/>
    <w:uiPriority w:val="99"/>
    <w:semiHidden/>
    <w:unhideWhenUsed/>
    <w:rsid w:val="005D018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767B2A"/>
    <w:rPr>
      <w:b/>
      <w:bCs/>
    </w:rPr>
  </w:style>
  <w:style w:type="table" w:styleId="GridTable1Light">
    <w:name w:val="Grid Table 1 Light"/>
    <w:basedOn w:val="TableNormal"/>
    <w:uiPriority w:val="46"/>
    <w:rsid w:val="00767B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Alja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2</cp:revision>
  <dcterms:created xsi:type="dcterms:W3CDTF">2026-04-04T10:03:00Z</dcterms:created>
  <dcterms:modified xsi:type="dcterms:W3CDTF">2026-04-04T10:03:00Z</dcterms:modified>
</cp:coreProperties>
</file>